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80"/>
      </w:pPr>
      <w:r>
        <w:rPr>
          <w:rFonts w:ascii="Calibri" w:hAnsi="Calibri"/>
          <w:b/>
          <w:i w:val="0"/>
          <w:color w:val="2E74B5"/>
          <w:sz w:val="18"/>
        </w:rPr>
        <w:t>PRAKTICKÝ VZOR 2026</w:t>
      </w:r>
    </w:p>
    <w:p>
      <w:pPr>
        <w:keepNext/>
        <w:spacing w:after="120"/>
      </w:pPr>
      <w:r>
        <w:rPr>
          <w:rFonts w:ascii="Calibri" w:hAnsi="Calibri"/>
          <w:b/>
          <w:i w:val="0"/>
          <w:color w:val="111111"/>
          <w:sz w:val="48"/>
        </w:rPr>
        <w:t>Vnitřní oznamovací směrnice</w:t>
      </w:r>
    </w:p>
    <w:p>
      <w:pPr>
        <w:spacing w:after="280"/>
      </w:pPr>
      <w:r>
        <w:rPr>
          <w:rFonts w:ascii="Calibri" w:hAnsi="Calibri"/>
          <w:b w:val="0"/>
          <w:i/>
          <w:color w:val="666666"/>
          <w:sz w:val="22"/>
        </w:rPr>
        <w:t>Vzor podle zákona č. 171/2023 Sb., o ochraně oznamovatelů</w:t>
      </w:r>
    </w:p>
    <w:p>
      <w:pPr>
        <w:spacing w:before="80" w:after="200"/>
        <w:ind w:left="120" w:right="120"/>
        <w:shd w:fill="F2F4F7"/>
      </w:pPr>
      <w:r>
        <w:rPr>
          <w:rFonts w:ascii="Calibri" w:hAnsi="Calibri"/>
          <w:b/>
          <w:i w:val="0"/>
          <w:color w:val="1F4D78"/>
          <w:sz w:val="20"/>
        </w:rPr>
        <w:t xml:space="preserve">Před použitím: </w:t>
      </w:r>
      <w:r>
        <w:rPr>
          <w:rFonts w:ascii="Calibri" w:hAnsi="Calibri"/>
          <w:b w:val="0"/>
          <w:i w:val="0"/>
          <w:color w:val="111111"/>
          <w:sz w:val="20"/>
        </w:rPr>
        <w:t>Doplňte všechny údaje v hranatých závorkách, ověřte zabezpečení kanálů a určete skutečně nezávislou příslušnou osobu i její zástup.</w:t>
      </w:r>
    </w:p>
    <w:p>
      <w:pPr>
        <w:pStyle w:val="Heading1"/>
      </w:pPr>
      <w:r>
        <w:t>1. Účel a působnost</w:t>
      </w:r>
    </w:p>
    <w:p>
      <w:pPr>
        <w:widowControl/>
      </w:pPr>
      <w:r>
        <w:t>[Název organizace], IČO [IČO], se sídlem [adresa] (dále jen „organizace“), vydává tuto směrnici k zajištění vnitřního oznamovacího systému podle zákona č. 171/2023 Sb., o ochraně oznamovatelů. Směrnice upravuje přijímání a posuzování oznámení o možném protiprávním jednání, přijímání nápravných opatření, ochranu totožnosti a vedení evidence.</w:t>
      </w:r>
    </w:p>
    <w:p>
      <w:pPr>
        <w:widowControl/>
      </w:pPr>
      <w:r>
        <w:t>Směrnice se vztahuje na osoby, které pro organizaci vykonávají nebo vykonávaly práci či jinou obdobnou činnost nebo byly s organizací v kontaktu v souvislosti s prací, zejména zaměstnance, uchazeče, členy orgánů, stážisty, dobrovolníky a dodavatele.</w:t>
      </w:r>
    </w:p>
    <w:p>
      <w:pPr>
        <w:pStyle w:val="Heading1"/>
      </w:pPr>
      <w:r>
        <w:t>2. Oznámení a oznamované jednání</w:t>
      </w:r>
    </w:p>
    <w:p>
      <w:pPr>
        <w:widowControl/>
      </w:pPr>
      <w:r>
        <w:t>Oznámením se rozumí informace o možném protiprávním jednání, které má znaky trestného činu, přestupku, za který zákon stanoví sazbu pokuty s horní hranicí alespoň 100 000 Kč, porušuje zákon o ochraně oznamovatelů nebo jiný právní předpis či předpis Evropské unie v oblasti vymezené zákonem.</w:t>
      </w:r>
    </w:p>
    <w:p>
      <w:pPr>
        <w:widowControl/>
      </w:pPr>
      <w:r>
        <w:t>Oznamovatel uvede, pokud je zná, popis jednání, dobu a místo, zúčastněné osoby, dostupné důkazy a kontakt pro další komunikaci. Vědomě nepravdivé oznámení není chráněno a může být postižitelné.</w:t>
      </w:r>
    </w:p>
    <w:p>
      <w:pPr>
        <w:pStyle w:val="Heading1"/>
      </w:pPr>
      <w:r>
        <w:t>3. Příslušná osoba</w:t>
      </w:r>
    </w:p>
    <w:p>
      <w:pPr>
        <w:widowControl/>
      </w:pPr>
      <w:r>
        <w:t>Příslušnou osobou je [jméno, funkce, telefon, e-mail]. Zastupující příslušnou osobou pro dobu nepřítomnosti nebo možné podjatosti je [jméno, funkce, telefon, e-mail].</w:t>
      </w:r>
    </w:p>
    <w:p>
      <w:pPr>
        <w:widowControl/>
      </w:pPr>
      <w:r>
        <w:t>Příslušná osoba přijímá a posuzuje oznámení, udržuje komunikaci s oznamovatelem, navrhuje organizaci opatření k nápravě nebo předejití protiprávnímu stavu, vede zákonnou evidenci a zachovává mlčenlivost. Při výkonu činnosti postupuje nestranně a její činnost nesmí být mařena ani ovlivňována pokyny organizace.</w:t>
      </w:r>
    </w:p>
    <w:p>
      <w:pPr>
        <w:pStyle w:val="Heading1"/>
      </w:pPr>
      <w:r>
        <w:t>4. Kanály pro podání oznámení</w:t>
      </w:r>
    </w:p>
    <w:p>
      <w:pPr>
        <w:widowControl/>
      </w:pPr>
      <w:r>
        <w:t>Oznámení lze podat písemně na zabezpečený e-mail [e-mail], poštou v uzavřené obálce označené „NEOTVÍRAT - K RUKÁM PŘÍSLUŠNÉ OSOBY“ na adresu [adresa], telefonicky na čísle [telefon] nebo osobně po předchozí domluvě.</w:t>
      </w:r>
    </w:p>
    <w:p>
      <w:pPr>
        <w:widowControl/>
      </w:pPr>
      <w:r>
        <w:t>Požádá-li oznamovatel o osobní přijetí oznámení, příslušná osoba jej přijme v přiměřené lhůtě, nejpozději do 14 dnů. O ústním oznámení se se souhlasem oznamovatele pořídí zvuková nahrávka nebo věrný písemný záznam; oznamovateli se umožní záznam zkontrolovat, opravit a potvrdit.</w:t>
      </w:r>
    </w:p>
    <w:p>
      <w:pPr>
        <w:widowControl/>
      </w:pPr>
      <w:r>
        <w:t>Oznámení lze podat také externím oznamovacím systémem Ministerstva spravedlnosti. Využití interního systému není podmínkou pro využití externího systému.</w:t>
      </w:r>
    </w:p>
    <w:p>
      <w:pPr>
        <w:pStyle w:val="Heading1"/>
      </w:pPr>
      <w:r>
        <w:t>5. Přijetí a posouzení oznámení</w:t>
      </w:r>
    </w:p>
    <w:p>
      <w:pPr>
        <w:widowControl/>
      </w:pPr>
      <w:r>
        <w:t>Příslušná osoba písemně vyrozumí oznamovatele o přijetí oznámení do 7 dnů, ledaže oznamovatel výslovně požádal, aby vyrozuměn nebyl, nebo by vyrozuměním došlo k prozrazení jeho totožnosti jiné osobě.</w:t>
      </w:r>
    </w:p>
    <w:p>
      <w:pPr>
        <w:widowControl/>
      </w:pPr>
      <w:r>
        <w:t>Příslušná osoba posoudí důvodnost oznámení a písemně vyrozumí oznamovatele o výsledku do 30 dnů od přijetí. Ve skutkově nebo právně složitých případech může lhůtu prodloužit až o 30 dnů, nejvýše dvakrát. O každém prodloužení a jeho důvodech vyrozumí oznamovatele před uplynutím dosavadní lhůty.</w:t>
      </w:r>
    </w:p>
    <w:p>
      <w:pPr>
        <w:widowControl/>
      </w:pPr>
      <w:r>
        <w:t>Nespadá-li oznámení do působnosti zákona, příslušná osoba o tom oznamovatele bez zbytečného odkladu vyrozumí. Je-li oznámení důvodné, navrhne organizaci opatření k nápravě nebo předejití protiprávnímu stavu tak, aby nebyla prozrazena totožnost oznamovatele ani dalších chráněných osob.</w:t>
      </w:r>
    </w:p>
    <w:p>
      <w:pPr>
        <w:pStyle w:val="Heading1"/>
      </w:pPr>
      <w:r>
        <w:t>6. Ochrana totožnosti a důvěrnost</w:t>
      </w:r>
    </w:p>
    <w:p>
      <w:pPr>
        <w:widowControl/>
      </w:pPr>
      <w:r>
        <w:t>S oznámením, evidencí a souvisejícími dokumenty se smí seznamovat pouze příslušná osoba, nestanoví-li zákon jinak. Informace o totožnosti oznamovatele a dalších chráněných osob nesmí být bez jejich písemného souhlasu poskytnuta jiné osobě. Vyžaduje-li sdělení totožnosti právní předpis, příslušná osoba oznamovatele předem vyrozumí a sdělí mu důvody, neohrozí-li tím účel příslušného řízení.</w:t>
      </w:r>
    </w:p>
    <w:p>
      <w:pPr>
        <w:widowControl/>
      </w:pPr>
      <w:r>
        <w:t>Organizace nastaví technická a organizační opatření tak, aby k oznamovacím kanálům, evidenci a uloženým dokumentům neměly přístup neoprávněné osoby.</w:t>
      </w:r>
    </w:p>
    <w:p>
      <w:pPr>
        <w:pStyle w:val="Heading1"/>
      </w:pPr>
      <w:r>
        <w:t>7. Zákaz odvetných opatření</w:t>
      </w:r>
    </w:p>
    <w:p>
      <w:pPr>
        <w:widowControl/>
      </w:pPr>
      <w:r>
        <w:t>Organizace zakazuje jakékoli odvetné opatření vůči oznamovateli a dalším chráněným osobám. Za odvetné opatření se považuje jednání nebo opomenutí v souvislosti s prací nebo jinou obdobnou činností, které bylo vyvoláno oznámením a může způsobit újmu, zejména rozvázání pracovního poměru, snížení mzdy, převedení, změna pracovní doby, negativní hodnocení, nátlak nebo poškození pověsti.</w:t>
      </w:r>
    </w:p>
    <w:p>
      <w:pPr>
        <w:widowControl/>
      </w:pPr>
      <w:r>
        <w:t>Oznamovatel může podezření na odvetu oznámit příslušné osobě nebo Ministerstvu spravedlnosti. Vedoucí zaměstnanci jsou povinni zdržet se kroků, které by mohly být vnímány jako odveta, a doložit legitimní důvody personálních rozhodnutí.</w:t>
      </w:r>
    </w:p>
    <w:p>
      <w:pPr>
        <w:pStyle w:val="Heading1"/>
      </w:pPr>
      <w:r>
        <w:t>8. Evidence a uchování</w:t>
      </w:r>
    </w:p>
    <w:p>
      <w:pPr>
        <w:widowControl/>
      </w:pPr>
      <w:r>
        <w:t>Příslušná osoba vede elektronickou evidenci v rozsahu stanoveném zákonem, zejména datum přijetí, identifikaci oznamovatele, je-li známa, shrnutí obsahu, identifikaci osoby, proti které oznámení směřuje, datum ukončení posouzení a výsledek.</w:t>
      </w:r>
    </w:p>
    <w:p>
      <w:pPr>
        <w:widowControl/>
      </w:pPr>
      <w:r>
        <w:t>Oznámení a související dokumenty se uchovávají po dobu 5 let ode dne přijetí. Evidence i dokumenty jsou zabezpečeny proti neoprávněnému přístupu, změně, ztrátě a zničení.</w:t>
      </w:r>
    </w:p>
    <w:p>
      <w:pPr>
        <w:pStyle w:val="Heading1"/>
      </w:pPr>
      <w:r>
        <w:t>9. Závěrečná ustanovení</w:t>
      </w:r>
    </w:p>
    <w:p>
      <w:pPr>
        <w:widowControl/>
      </w:pPr>
      <w:r>
        <w:t>Za zveřejnění informací o způsobech oznamování a kontaktech příslušné osoby odpovídá [funkce]. Organizace s touto směrnicí prokazatelně seznámí všechny osoby v jejím rozsahu a nejméně jednou ročně ověří funkčnost kanálů a aktuálnost kontaktů.</w:t>
      </w:r>
    </w:p>
    <w:p>
      <w:pPr>
        <w:widowControl/>
      </w:pPr>
      <w:r>
        <w:t>Tato směrnice nabývá účinnosti dne [datum]. Schválil/a: [jméno, funkce, podpis]. Verze dokumentu: [číslo verze].</w:t>
      </w:r>
    </w:p>
    <w:p>
      <w:pPr>
        <w:spacing w:before="360"/>
      </w:pPr>
      <w:r>
        <w:rPr>
          <w:rFonts w:ascii="Calibri" w:hAnsi="Calibri"/>
          <w:b w:val="0"/>
          <w:i w:val="0"/>
          <w:color w:val="111111"/>
          <w:sz w:val="22"/>
        </w:rPr>
        <w:t>V [místo] dne [datum]</w:t>
      </w:r>
    </w:p>
    <w:p>
      <w:pPr>
        <w:spacing w:before="240"/>
      </w:pPr>
      <w:r>
        <w:rPr>
          <w:rFonts w:ascii="Calibri" w:hAnsi="Calibri"/>
          <w:b w:val="0"/>
          <w:i w:val="0"/>
          <w:color w:val="111111"/>
          <w:sz w:val="22"/>
        </w:rPr>
        <w:t>__________________________________</w:t>
      </w:r>
    </w:p>
    <w:p>
      <w:r>
        <w:rPr>
          <w:rFonts w:ascii="Calibri" w:hAnsi="Calibri"/>
          <w:b w:val="0"/>
          <w:i/>
          <w:color w:val="666666"/>
          <w:sz w:val="18"/>
        </w:rPr>
        <w:t>[jméno, funkce a podpis oprávněné osoby]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/>
        <w:b w:val="0"/>
        <w:i w:val="0"/>
        <w:color w:val="666666"/>
        <w:sz w:val="17"/>
      </w:rPr>
      <w:t xml:space="preserve">Praktický vzor | strana </w:t>
    </w:r>
    <w:fldSimple w:instr="PAGE"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alibri" w:hAnsi="Calibri"/>
        <w:b/>
        <w:i w:val="0"/>
        <w:color w:val="666666"/>
        <w:sz w:val="17"/>
      </w:rPr>
      <w:t>MZDY.CZ | WHISTLEBLOWING | 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color w:val="111111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